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05C" w:rsidRPr="00F6005C" w:rsidRDefault="00F6005C" w:rsidP="009751F5">
      <w:p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6005C">
        <w:rPr>
          <w:rFonts w:ascii="Times New Roman" w:hAnsi="Times New Roman" w:cs="Times New Roman"/>
          <w:b/>
          <w:sz w:val="24"/>
          <w:szCs w:val="24"/>
        </w:rPr>
        <w:t>Kardiyoloji 3. sınıf derslerinin öğrenim hedefleri</w:t>
      </w:r>
    </w:p>
    <w:p w:rsidR="000F3EE4" w:rsidRPr="009751F5" w:rsidRDefault="00252721" w:rsidP="009751F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Aritimli hastaya yaklaşım;</w:t>
      </w:r>
    </w:p>
    <w:p w:rsidR="00252721" w:rsidRPr="009751F5" w:rsidRDefault="00252721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Öğrenim hedefleri;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Tanım</w:t>
      </w:r>
    </w:p>
    <w:p w:rsidR="00252721" w:rsidRPr="009751F5" w:rsidRDefault="00252721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Normal sinüs ritmi EKG’si</w:t>
      </w:r>
    </w:p>
    <w:p w:rsidR="00252721" w:rsidRPr="009751F5" w:rsidRDefault="00252721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Aritmilerin mekanizması</w:t>
      </w:r>
    </w:p>
    <w:p w:rsidR="00252721" w:rsidRPr="009751F5" w:rsidRDefault="00252721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Taşiaritmiler (Dar ve geniş QRS’li taşikardiler)</w:t>
      </w:r>
      <w:r w:rsidR="005F39AE" w:rsidRPr="009751F5">
        <w:rPr>
          <w:rFonts w:ascii="Times New Roman" w:hAnsi="Times New Roman" w:cs="Times New Roman"/>
          <w:sz w:val="24"/>
          <w:szCs w:val="24"/>
        </w:rPr>
        <w:t>’i tanıma ve yaklaşım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Hemodinamiyi bozan aritmilere acil yaklaşım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Şok tedavisi verilen ve verilmeyen taşikardiler</w:t>
      </w:r>
    </w:p>
    <w:p w:rsidR="00252721" w:rsidRPr="009751F5" w:rsidRDefault="00252721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Bradiaritmiler</w:t>
      </w:r>
      <w:r w:rsidR="005F39AE" w:rsidRPr="009751F5">
        <w:rPr>
          <w:rFonts w:ascii="Times New Roman" w:hAnsi="Times New Roman" w:cs="Times New Roman"/>
          <w:sz w:val="24"/>
          <w:szCs w:val="24"/>
        </w:rPr>
        <w:t>’i tanıma ve yaklaşım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Antiaritmik ilaçların sınıflaması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2721" w:rsidRPr="009751F5" w:rsidRDefault="005F39AE" w:rsidP="009751F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Perikardit ve Myokardite yaklaşım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Öğrenim hedefleri;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Tanım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Anamnez ve Fizik muayene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Etyoloji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Fizyopatoloji ve ayırıcı tanı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Tedavi</w:t>
      </w:r>
    </w:p>
    <w:p w:rsidR="005F39AE" w:rsidRPr="009751F5" w:rsidRDefault="005F39AE" w:rsidP="009751F5">
      <w:pPr>
        <w:pStyle w:val="ListeParagraf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Kardiyak myopatilere yaklaşım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Öğrenim hedefleri;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Tanım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Anamnez ve Fizik muayene</w:t>
      </w:r>
    </w:p>
    <w:p w:rsidR="005F39AE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Kardiyomyopatilerin sınıflaması</w:t>
      </w:r>
    </w:p>
    <w:p w:rsidR="009751F5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Görüntüleme yöntemleri  ve laboratuar</w:t>
      </w:r>
    </w:p>
    <w:p w:rsidR="009751F5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lastRenderedPageBreak/>
        <w:t>Etyoloji-fizyopatoloji</w:t>
      </w:r>
    </w:p>
    <w:p w:rsidR="009751F5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Ayırıcı tanı</w:t>
      </w:r>
    </w:p>
    <w:p w:rsidR="009751F5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Medikal tedavi-invaziv tedavi</w:t>
      </w:r>
    </w:p>
    <w:p w:rsidR="009751F5" w:rsidRPr="009751F5" w:rsidRDefault="009751F5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>Cerrahi ve cihaz tedavisi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4-Konjestif Kalp yetersizliğine yaklaşım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Öğrenim hedefleri;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Tanım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Kalp yetersizliği sınıflaması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Anamnez ve Fizik muayene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Laboratuar-görüntüleme yöntemleri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Etyoloji-Fizyopatoloji-Ayırıcı tanı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Medikal tedavi-invaziv tedavi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    Cerrahi ve cihaz tedavisi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5-İskemik kalp hastalıklarına yaklaşım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Öğrenim hdefleri;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51F5">
        <w:rPr>
          <w:rFonts w:ascii="Times New Roman" w:hAnsi="Times New Roman" w:cs="Times New Roman"/>
          <w:sz w:val="24"/>
          <w:szCs w:val="24"/>
        </w:rPr>
        <w:t xml:space="preserve"> Tanım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51F5">
        <w:rPr>
          <w:rFonts w:ascii="Times New Roman" w:hAnsi="Times New Roman" w:cs="Times New Roman"/>
          <w:sz w:val="24"/>
          <w:szCs w:val="24"/>
        </w:rPr>
        <w:t>Anamnez ve fizik muayene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51F5">
        <w:rPr>
          <w:rFonts w:ascii="Times New Roman" w:hAnsi="Times New Roman" w:cs="Times New Roman"/>
          <w:sz w:val="24"/>
          <w:szCs w:val="24"/>
        </w:rPr>
        <w:t xml:space="preserve"> İskemik kalp hastalıklarının sınıflaması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51F5">
        <w:rPr>
          <w:rFonts w:ascii="Times New Roman" w:hAnsi="Times New Roman" w:cs="Times New Roman"/>
          <w:sz w:val="24"/>
          <w:szCs w:val="24"/>
        </w:rPr>
        <w:t>Etyopatogenez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751F5">
        <w:rPr>
          <w:rFonts w:ascii="Times New Roman" w:hAnsi="Times New Roman" w:cs="Times New Roman"/>
          <w:sz w:val="24"/>
          <w:szCs w:val="24"/>
        </w:rPr>
        <w:t>Ayırıcı tanı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lastRenderedPageBreak/>
        <w:t xml:space="preserve">      Laboratuar ve görüntüleme yöntemleri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Medikal-İnvaziv tedavi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Cerrahi ve cihaz tedavisi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9751F5" w:rsidRPr="009751F5" w:rsidRDefault="009751F5" w:rsidP="009751F5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51F5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5F39AE" w:rsidRPr="009751F5" w:rsidRDefault="005F39AE" w:rsidP="009751F5">
      <w:pPr>
        <w:pStyle w:val="ListeParagraf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F39AE" w:rsidRPr="009751F5" w:rsidSect="000F3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17C53"/>
    <w:multiLevelType w:val="hybridMultilevel"/>
    <w:tmpl w:val="9F9252F8"/>
    <w:lvl w:ilvl="0" w:tplc="4F4A2A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252721"/>
    <w:rsid w:val="00017933"/>
    <w:rsid w:val="000F3EE4"/>
    <w:rsid w:val="00252721"/>
    <w:rsid w:val="005F39AE"/>
    <w:rsid w:val="009751F5"/>
    <w:rsid w:val="009C3649"/>
    <w:rsid w:val="00F6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E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5272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Süleyman Karakoyun</dc:creator>
  <cp:lastModifiedBy>EMRE</cp:lastModifiedBy>
  <cp:revision>2</cp:revision>
  <dcterms:created xsi:type="dcterms:W3CDTF">2016-10-19T08:55:00Z</dcterms:created>
  <dcterms:modified xsi:type="dcterms:W3CDTF">2016-10-19T08:55:00Z</dcterms:modified>
</cp:coreProperties>
</file>